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3E" w:rsidRDefault="009979CD" w:rsidP="00AF183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DOSSIER CGT :</w:t>
      </w:r>
    </w:p>
    <w:p w:rsidR="004976A8" w:rsidRPr="00EF519C" w:rsidRDefault="00F52D95" w:rsidP="00AF183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Les congés pour évènements familiaux</w:t>
      </w:r>
      <w:r w:rsidR="00152EC3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à DGO</w:t>
      </w:r>
    </w:p>
    <w:p w:rsidR="004976A8" w:rsidRDefault="004976A8" w:rsidP="004976A8">
      <w:pPr>
        <w:jc w:val="center"/>
        <w:rPr>
          <w:sz w:val="36"/>
          <w:szCs w:val="36"/>
        </w:rPr>
      </w:pPr>
    </w:p>
    <w:p w:rsidR="00F52D95" w:rsidRDefault="00F52D95" w:rsidP="00F52D95">
      <w:pPr>
        <w:rPr>
          <w:sz w:val="28"/>
          <w:szCs w:val="28"/>
        </w:rPr>
      </w:pPr>
    </w:p>
    <w:p w:rsidR="00F52D95" w:rsidRDefault="00B80BF7" w:rsidP="00F52D95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F52D95">
        <w:rPr>
          <w:sz w:val="28"/>
          <w:szCs w:val="28"/>
        </w:rPr>
        <w:t xml:space="preserve">ous ne le savez peut être </w:t>
      </w:r>
      <w:r w:rsidR="00FC5593">
        <w:rPr>
          <w:sz w:val="28"/>
          <w:szCs w:val="28"/>
        </w:rPr>
        <w:t xml:space="preserve">pas </w:t>
      </w:r>
      <w:r w:rsidR="00F52D95">
        <w:rPr>
          <w:sz w:val="28"/>
          <w:szCs w:val="28"/>
        </w:rPr>
        <w:t>mais pratiquement chaque évènement familial vous donne droit, sur présentation d’un justificatif, à des congés spéciaux rémunérés de courte durée. Ces congés doivent être pris au moment de l’évènement</w:t>
      </w:r>
      <w:r>
        <w:rPr>
          <w:sz w:val="28"/>
          <w:szCs w:val="28"/>
        </w:rPr>
        <w:t>.</w:t>
      </w:r>
    </w:p>
    <w:p w:rsidR="00F52D95" w:rsidRDefault="00F52D95" w:rsidP="00F52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Les droits pour ces congés spéciaux sont issus de la convention collective dans son article 27 mais certain</w:t>
      </w:r>
      <w:r w:rsidR="004B6D68">
        <w:rPr>
          <w:sz w:val="28"/>
          <w:szCs w:val="28"/>
        </w:rPr>
        <w:t>s</w:t>
      </w:r>
      <w:r>
        <w:rPr>
          <w:sz w:val="28"/>
          <w:szCs w:val="28"/>
        </w:rPr>
        <w:t xml:space="preserve"> ont été améliorés lors des négociations annuelles obligatoires.</w:t>
      </w:r>
      <w:bookmarkStart w:id="0" w:name="_GoBack"/>
      <w:bookmarkEnd w:id="0"/>
    </w:p>
    <w:p w:rsidR="00F52D95" w:rsidRDefault="00F52D95" w:rsidP="00F52D95">
      <w:pPr>
        <w:jc w:val="both"/>
        <w:rPr>
          <w:sz w:val="28"/>
          <w:szCs w:val="28"/>
        </w:rPr>
      </w:pPr>
    </w:p>
    <w:p w:rsidR="00F52D95" w:rsidRDefault="00F52D95" w:rsidP="00F52D95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Mariage</w:t>
      </w:r>
      <w:r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ou PACS : </w:t>
      </w:r>
    </w:p>
    <w:p w:rsidR="00F52D95" w:rsidRDefault="00F52D95" w:rsidP="00F52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le mariage ou pour un PACS, vous avez droit à 4 jours sans conditions d’ancienneté et à 5 jours au bout d’un an </w:t>
      </w:r>
      <w:r w:rsidR="00F61BD8">
        <w:rPr>
          <w:sz w:val="28"/>
          <w:szCs w:val="28"/>
        </w:rPr>
        <w:t>d’</w:t>
      </w:r>
      <w:r>
        <w:rPr>
          <w:sz w:val="28"/>
          <w:szCs w:val="28"/>
        </w:rPr>
        <w:t>ancienneté. En plus, votre Comité d’Entreprise vous offre des chèques-cadeaux d’une valeur de 100 euros si vous avez au moins 6 mois d’ancienneté.</w:t>
      </w:r>
    </w:p>
    <w:p w:rsidR="00F52D95" w:rsidRDefault="00F52D95" w:rsidP="00F52D95">
      <w:pPr>
        <w:jc w:val="both"/>
        <w:rPr>
          <w:sz w:val="28"/>
          <w:szCs w:val="28"/>
        </w:rPr>
      </w:pPr>
    </w:p>
    <w:p w:rsidR="00F52D95" w:rsidRDefault="00F52D95" w:rsidP="00F52D95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Naissance ou adoption d’un enfant :</w:t>
      </w:r>
    </w:p>
    <w:p w:rsidR="00F52D95" w:rsidRDefault="00671545" w:rsidP="00F52D95">
      <w:pPr>
        <w:jc w:val="both"/>
        <w:rPr>
          <w:sz w:val="28"/>
          <w:szCs w:val="28"/>
        </w:rPr>
      </w:pPr>
      <w:r>
        <w:rPr>
          <w:sz w:val="28"/>
          <w:szCs w:val="28"/>
        </w:rPr>
        <w:t>Vous bénéficiez de 3 jours sans aucune condition d’ancienneté. Là aussi, vous bénéficiez d’un bonus de la part de votre Comité d’Entreprise sous forme de chèques-cadeaux de 100 euros si vous justifiez d’au moins 6 mois d’ancienneté.</w:t>
      </w:r>
    </w:p>
    <w:p w:rsidR="00AC7B26" w:rsidRDefault="00AC7B26" w:rsidP="00F52D95">
      <w:pPr>
        <w:jc w:val="both"/>
        <w:rPr>
          <w:sz w:val="28"/>
          <w:szCs w:val="28"/>
        </w:rPr>
      </w:pPr>
    </w:p>
    <w:p w:rsidR="00AC7B26" w:rsidRDefault="00AC7B26" w:rsidP="00AC7B26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Entrée scolaire :</w:t>
      </w:r>
    </w:p>
    <w:p w:rsidR="00AC7B26" w:rsidRDefault="00AC7B26" w:rsidP="00AC7B26">
      <w:pPr>
        <w:jc w:val="both"/>
        <w:rPr>
          <w:sz w:val="28"/>
          <w:szCs w:val="28"/>
        </w:rPr>
      </w:pPr>
      <w:r>
        <w:rPr>
          <w:sz w:val="28"/>
          <w:szCs w:val="28"/>
        </w:rPr>
        <w:t>Pour l’entrée de votre enfant en classe maternelle, cours préparatoire et sixième vous avez droit à 2heures.</w:t>
      </w:r>
    </w:p>
    <w:p w:rsidR="00AC7B26" w:rsidRDefault="00AC7B26" w:rsidP="00AC7B26">
      <w:pPr>
        <w:jc w:val="both"/>
        <w:rPr>
          <w:sz w:val="28"/>
          <w:szCs w:val="28"/>
        </w:rPr>
      </w:pPr>
    </w:p>
    <w:p w:rsidR="00AC7B26" w:rsidRDefault="00AC7B26" w:rsidP="00AC7B26">
      <w:pPr>
        <w:jc w:val="both"/>
        <w:rPr>
          <w:sz w:val="28"/>
          <w:szCs w:val="28"/>
        </w:rPr>
      </w:pPr>
    </w:p>
    <w:p w:rsidR="00BE3370" w:rsidRDefault="00BE3370" w:rsidP="00F52D95">
      <w:pPr>
        <w:jc w:val="both"/>
        <w:rPr>
          <w:sz w:val="28"/>
          <w:szCs w:val="28"/>
        </w:rPr>
      </w:pPr>
    </w:p>
    <w:p w:rsidR="00BE3370" w:rsidRDefault="00BE3370" w:rsidP="00BE337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1ere communion :</w:t>
      </w:r>
    </w:p>
    <w:p w:rsidR="00BE3370" w:rsidRDefault="00BE3370" w:rsidP="00BE3370">
      <w:pPr>
        <w:jc w:val="both"/>
        <w:rPr>
          <w:sz w:val="28"/>
          <w:szCs w:val="28"/>
        </w:rPr>
      </w:pPr>
      <w:r>
        <w:rPr>
          <w:sz w:val="28"/>
          <w:szCs w:val="28"/>
        </w:rPr>
        <w:t>La convention collective attribue un jour pour la 1ere communion de votre enfant si vous avez une ancienneté d’un an.</w:t>
      </w:r>
    </w:p>
    <w:p w:rsidR="00671545" w:rsidRDefault="00671545" w:rsidP="00F52D95">
      <w:pPr>
        <w:jc w:val="both"/>
        <w:rPr>
          <w:sz w:val="28"/>
          <w:szCs w:val="28"/>
        </w:rPr>
      </w:pPr>
    </w:p>
    <w:p w:rsidR="00671545" w:rsidRDefault="00671545" w:rsidP="00F52D95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Mariage d’un enfant :</w:t>
      </w:r>
    </w:p>
    <w:p w:rsidR="00671545" w:rsidRDefault="00671545" w:rsidP="00F52D95">
      <w:pPr>
        <w:jc w:val="both"/>
        <w:rPr>
          <w:sz w:val="28"/>
          <w:szCs w:val="28"/>
        </w:rPr>
      </w:pPr>
      <w:r>
        <w:rPr>
          <w:sz w:val="28"/>
          <w:szCs w:val="28"/>
        </w:rPr>
        <w:t>Votre enfant se marie, vous avez droit à un jour sans condition d’ancienneté.</w:t>
      </w:r>
    </w:p>
    <w:p w:rsidR="00671545" w:rsidRDefault="00671545" w:rsidP="00F52D95">
      <w:pPr>
        <w:jc w:val="both"/>
        <w:rPr>
          <w:sz w:val="28"/>
          <w:szCs w:val="28"/>
        </w:rPr>
      </w:pPr>
    </w:p>
    <w:p w:rsidR="00671545" w:rsidRDefault="00671545" w:rsidP="00F52D95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Déménagement :</w:t>
      </w:r>
    </w:p>
    <w:p w:rsidR="00671545" w:rsidRDefault="00671545" w:rsidP="00F52D95">
      <w:pPr>
        <w:jc w:val="both"/>
        <w:rPr>
          <w:sz w:val="28"/>
          <w:szCs w:val="28"/>
        </w:rPr>
      </w:pPr>
      <w:r>
        <w:rPr>
          <w:sz w:val="28"/>
          <w:szCs w:val="28"/>
        </w:rPr>
        <w:t>Pour le déménagement vous pouvez bénéficier d’un jour non renouvelable avant quatre ans si vous justifiez d’un an d’ancienneté.</w:t>
      </w:r>
    </w:p>
    <w:p w:rsidR="00BE3370" w:rsidRDefault="00BE3370" w:rsidP="00F52D95">
      <w:pPr>
        <w:jc w:val="both"/>
        <w:rPr>
          <w:sz w:val="28"/>
          <w:szCs w:val="28"/>
        </w:rPr>
      </w:pPr>
    </w:p>
    <w:p w:rsidR="00BE3370" w:rsidRDefault="00BE3370" w:rsidP="00F52D95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Garde d’un enfant malade ou d’une personne dépendante :</w:t>
      </w:r>
    </w:p>
    <w:p w:rsidR="00BE3370" w:rsidRPr="00BE3370" w:rsidRDefault="00BE3370" w:rsidP="00BE3370">
      <w:pPr>
        <w:rPr>
          <w:sz w:val="28"/>
          <w:szCs w:val="28"/>
        </w:rPr>
      </w:pPr>
      <w:r w:rsidRPr="00BE3370">
        <w:rPr>
          <w:sz w:val="28"/>
          <w:szCs w:val="28"/>
        </w:rPr>
        <w:t>Conformément à l’article 6 de l’accord de négociation annuelle 2005, le salarié ayant dans l’entreprise une ancienneté au moins égale à 1 an peut demander une autorisation d’absence spéciale (sans perte de rémunération mensuelle) en cas d’hospitalisation ou de maladie d’un enfant âgé de moins de seize ans rendant néces</w:t>
      </w:r>
      <w:r>
        <w:rPr>
          <w:sz w:val="28"/>
          <w:szCs w:val="28"/>
        </w:rPr>
        <w:t xml:space="preserve">saire la présence d’un parent. </w:t>
      </w:r>
    </w:p>
    <w:p w:rsidR="00BE3370" w:rsidRPr="00BE3370" w:rsidRDefault="00BE3370" w:rsidP="00BE3370">
      <w:pPr>
        <w:rPr>
          <w:sz w:val="28"/>
          <w:szCs w:val="28"/>
        </w:rPr>
      </w:pPr>
      <w:r w:rsidRPr="00BE3370">
        <w:rPr>
          <w:sz w:val="28"/>
          <w:szCs w:val="28"/>
        </w:rPr>
        <w:t xml:space="preserve">Cette autorisation d’absence est de :  </w:t>
      </w:r>
    </w:p>
    <w:p w:rsidR="00BE3370" w:rsidRDefault="00BE3370" w:rsidP="00BE3370">
      <w:pPr>
        <w:rPr>
          <w:sz w:val="28"/>
          <w:szCs w:val="28"/>
        </w:rPr>
      </w:pPr>
      <w:r w:rsidRPr="00BE3370">
        <w:rPr>
          <w:sz w:val="28"/>
          <w:szCs w:val="28"/>
        </w:rPr>
        <w:t>- 3 jours (ou 6 demi-journées) par année calendaire en cas de maladie ;</w:t>
      </w:r>
    </w:p>
    <w:p w:rsidR="00BE3370" w:rsidRPr="00BE3370" w:rsidRDefault="00BE3370" w:rsidP="00BE3370">
      <w:pPr>
        <w:rPr>
          <w:sz w:val="28"/>
          <w:szCs w:val="28"/>
        </w:rPr>
      </w:pPr>
      <w:r w:rsidRPr="00BE3370">
        <w:rPr>
          <w:sz w:val="28"/>
          <w:szCs w:val="28"/>
        </w:rPr>
        <w:t xml:space="preserve"> - 5 jours (ou 10 demi-journées) par année calendaire en cas d’hospitalisation.  </w:t>
      </w:r>
    </w:p>
    <w:p w:rsidR="00BE3370" w:rsidRDefault="00BE3370" w:rsidP="00BE3370">
      <w:pPr>
        <w:rPr>
          <w:sz w:val="28"/>
          <w:szCs w:val="28"/>
        </w:rPr>
      </w:pPr>
      <w:r w:rsidRPr="00BE3370">
        <w:rPr>
          <w:sz w:val="28"/>
          <w:szCs w:val="28"/>
        </w:rPr>
        <w:t xml:space="preserve">Ces dispositions sont également applicables au salarié dont la présence serait nécessaire en raison de la maladie ou de l’hospitalisation du conjoint.  </w:t>
      </w:r>
    </w:p>
    <w:p w:rsidR="00BE3370" w:rsidRDefault="00BE3370" w:rsidP="00BE3370">
      <w:pPr>
        <w:rPr>
          <w:sz w:val="28"/>
          <w:szCs w:val="28"/>
        </w:rPr>
      </w:pPr>
    </w:p>
    <w:p w:rsidR="00BE3370" w:rsidRDefault="00BE3370" w:rsidP="00BE337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Décès :</w:t>
      </w:r>
    </w:p>
    <w:p w:rsidR="00BE3370" w:rsidRPr="00BE3370" w:rsidRDefault="00BE3370" w:rsidP="00BE3370">
      <w:pPr>
        <w:rPr>
          <w:sz w:val="28"/>
          <w:szCs w:val="28"/>
        </w:rPr>
      </w:pPr>
      <w:r w:rsidRPr="00BE3370">
        <w:rPr>
          <w:sz w:val="28"/>
          <w:szCs w:val="28"/>
        </w:rPr>
        <w:t xml:space="preserve">Les droits à congés conventionnels pour décès prévus à l’article 27.1 de la convention collective applicable au sein de l’U.E.S. Darty Grand Ouest sont améliorés, sans conditions d’ancienneté, de la façon suivante :  </w:t>
      </w:r>
    </w:p>
    <w:p w:rsidR="00BE3370" w:rsidRDefault="00BE3370" w:rsidP="00BE337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E3370">
        <w:rPr>
          <w:sz w:val="28"/>
          <w:szCs w:val="28"/>
        </w:rPr>
        <w:t>Décès du conjoint ou d’un enfant : ……………………………………6 jours ;</w:t>
      </w:r>
    </w:p>
    <w:p w:rsidR="00BE3370" w:rsidRDefault="00BE3370" w:rsidP="00BE337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E3370">
        <w:rPr>
          <w:sz w:val="28"/>
          <w:szCs w:val="28"/>
        </w:rPr>
        <w:t>Décès du père ou de la mè</w:t>
      </w:r>
      <w:r>
        <w:rPr>
          <w:sz w:val="28"/>
          <w:szCs w:val="28"/>
        </w:rPr>
        <w:t xml:space="preserve">re : …………………………………………3 jours ; </w:t>
      </w:r>
    </w:p>
    <w:p w:rsidR="00BE3370" w:rsidRDefault="00BE3370" w:rsidP="00BE337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BE3370">
        <w:rPr>
          <w:sz w:val="28"/>
          <w:szCs w:val="28"/>
        </w:rPr>
        <w:lastRenderedPageBreak/>
        <w:t>Décès d’un frère ou d’une sœur, d’un beau-frère ou d’une belle-sœur, d’un des grands</w:t>
      </w:r>
      <w:r>
        <w:rPr>
          <w:sz w:val="28"/>
          <w:szCs w:val="28"/>
        </w:rPr>
        <w:t xml:space="preserve"> </w:t>
      </w:r>
      <w:r w:rsidRPr="00BE3370">
        <w:rPr>
          <w:sz w:val="28"/>
          <w:szCs w:val="28"/>
        </w:rPr>
        <w:t xml:space="preserve">parents, d’un des petits-enfants, d’un des beaux parents :………………2 jours.  </w:t>
      </w:r>
    </w:p>
    <w:p w:rsidR="004B6D68" w:rsidRPr="00BE3370" w:rsidRDefault="004B6D68" w:rsidP="00BE3370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 convention collective attribue également 1 jo</w:t>
      </w:r>
      <w:r w:rsidR="00270893">
        <w:rPr>
          <w:sz w:val="28"/>
          <w:szCs w:val="28"/>
        </w:rPr>
        <w:t>ur</w:t>
      </w:r>
      <w:r>
        <w:rPr>
          <w:sz w:val="28"/>
          <w:szCs w:val="28"/>
        </w:rPr>
        <w:t xml:space="preserve"> pour les autres ascendants ou descendants.</w:t>
      </w:r>
    </w:p>
    <w:p w:rsidR="00BE3370" w:rsidRDefault="00BE3370" w:rsidP="00BE3370">
      <w:pPr>
        <w:rPr>
          <w:sz w:val="28"/>
          <w:szCs w:val="28"/>
        </w:rPr>
      </w:pPr>
      <w:r w:rsidRPr="00BE3370">
        <w:rPr>
          <w:sz w:val="28"/>
          <w:szCs w:val="28"/>
        </w:rPr>
        <w:t xml:space="preserve">Lorsque le décès nécessite un déplacement de plus de 300 kilomètres du domicile du salarié, il lui sera accordé sur sa demande, une autorisation d’absence complémentaire d’un jour.  </w:t>
      </w:r>
    </w:p>
    <w:p w:rsidR="00F52D95" w:rsidRDefault="004B6D68" w:rsidP="004B6D68">
      <w:pPr>
        <w:rPr>
          <w:sz w:val="28"/>
          <w:szCs w:val="28"/>
        </w:rPr>
      </w:pPr>
      <w:r>
        <w:rPr>
          <w:sz w:val="28"/>
          <w:szCs w:val="28"/>
        </w:rPr>
        <w:t>Fin de ce dossier « congés pour évènements familiaux »</w:t>
      </w:r>
    </w:p>
    <w:p w:rsidR="004B6D68" w:rsidRPr="00F52D95" w:rsidRDefault="004B6D68" w:rsidP="004B6D68">
      <w:pPr>
        <w:rPr>
          <w:sz w:val="28"/>
          <w:szCs w:val="28"/>
        </w:rPr>
      </w:pPr>
      <w:r>
        <w:rPr>
          <w:sz w:val="28"/>
          <w:szCs w:val="28"/>
        </w:rPr>
        <w:t>Nous espérons qu’il vous aura été utile.</w:t>
      </w:r>
    </w:p>
    <w:sectPr w:rsidR="004B6D68" w:rsidRPr="00F52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08" w:rsidRDefault="008D3508" w:rsidP="009979CD">
      <w:pPr>
        <w:spacing w:after="0" w:line="240" w:lineRule="auto"/>
      </w:pPr>
      <w:r>
        <w:separator/>
      </w:r>
    </w:p>
  </w:endnote>
  <w:endnote w:type="continuationSeparator" w:id="0">
    <w:p w:rsidR="008D3508" w:rsidRDefault="008D3508" w:rsidP="0099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62" w:rsidRDefault="0019456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9CD" w:rsidRDefault="009979CD" w:rsidP="009979CD">
    <w:pPr>
      <w:pStyle w:val="Pieddepage"/>
      <w:jc w:val="center"/>
    </w:pPr>
    <w:r>
      <w:t>Dossier CGT :</w:t>
    </w:r>
    <w:r w:rsidR="00194562">
      <w:t xml:space="preserve"> les congés pour évènements  familiaux</w:t>
    </w:r>
    <w:r w:rsidR="00671545">
      <w:t xml:space="preserve"> </w:t>
    </w:r>
    <w:r>
      <w:t xml:space="preserve"> – Juillet 2015</w:t>
    </w:r>
  </w:p>
  <w:p w:rsidR="009979CD" w:rsidRDefault="009979C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62" w:rsidRDefault="001945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08" w:rsidRDefault="008D3508" w:rsidP="009979CD">
      <w:pPr>
        <w:spacing w:after="0" w:line="240" w:lineRule="auto"/>
      </w:pPr>
      <w:r>
        <w:separator/>
      </w:r>
    </w:p>
  </w:footnote>
  <w:footnote w:type="continuationSeparator" w:id="0">
    <w:p w:rsidR="008D3508" w:rsidRDefault="008D3508" w:rsidP="0099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62" w:rsidRDefault="0019456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7E8" w:rsidRDefault="008D3508" w:rsidP="006267E8">
    <w:pPr>
      <w:pStyle w:val="En-tte"/>
      <w:tabs>
        <w:tab w:val="clear" w:pos="4536"/>
      </w:tabs>
    </w:pPr>
    <w:sdt>
      <w:sdtPr>
        <w:id w:val="-1512604570"/>
        <w:docPartObj>
          <w:docPartGallery w:val="Page Numbers (Margins)"/>
          <w:docPartUnique/>
        </w:docPartObj>
      </w:sdtPr>
      <w:sdtEndPr/>
      <w:sdtContent>
        <w:r w:rsidR="006267E8"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3" name="Group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67E8" w:rsidRDefault="006267E8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52EC3" w:rsidRPr="00152EC3">
                                  <w:rPr>
                                    <w:rStyle w:val="Numrodepage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3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DtDQQAANMOAAAOAAAAZHJzL2Uyb0RvYy54bWzcV9tu3DYQfS/QfyD4vtZldYflwN6LUcBt&#10;AiT9AK5ErYRKokpyrXWL/nuHpKS9OAs7Sd0i1YNAccjhzJmZw9H1u31To0fKRcXaFDtXNka0zVhe&#10;tdsU//ppPYswEpK0OalZS1P8RAV+d/PjD9d9l1CXlazOKUegpBVJ36W4lLJLLEtkJW2IuGIdbUFY&#10;MN4QCZ98a+Wc9KC9qS3XtgOrZzzvOMuoEDC7NEJ8o/UXBc3k+6IQVKI6xWCb1G+u3xv1tm6uSbLl&#10;pCurbDCDfIUVDalaOHRStSSSoB2vnqlqqowzwQp5lbHGYkVRZVT7AN449pk395ztOu3LNum33QQT&#10;QHuG01erzX55/MBRlafYnWPUkgZipI+lCCYAnb7bJrDonncfuw/cuAjDB5b9JkBsncvV99YsRpv+&#10;Z5aDQrKTTKOzL3ijVIDfaK+D8DQFge4lymDSi6K542OUgcidh148BCkrIZJqVxDFGIFw7vq+iV9W&#10;robNYQAytRM2KplFEnOmtnOwSzkF2SYOgIpvA/RjSTqq4yQUViOg3gjoJ+XbHduj0DGQ6mUKTyT3&#10;MA+Fo+ERBlbUskVJ2i295Zz1JSU52Kd3ghfTVuOFUEpewvmAWKBjSpIR7ANegYZ5woskHRfynrIG&#10;qUGKOZSSNpI8PghpoB2XqJC2bF3VNcyTpG5PJkCnmYFDYauSqeN1dfwZ2/EqWkXezHOD1cyzl8vZ&#10;7XrhzYK1E/rL+XKxWDp/qXMdLymrPKetOmasVMd7XeAGzjA1NtWqYHWVK3XKJMG3m0XN0SMBpljr&#10;Z0igo2XWqRk6v8CXM5cc17Pv3Hi2DqJw5q09fxaHdjSznfguDmwv9pbrU5ceqpZ+u0uoT3Hsu75J&#10;pYu+2fp57htJmkoCF9dVk+JoWkQSlYCrNtehlaSqzfgICmX+AQoI9xhona4qQ02uyv1mD1pUDm9Y&#10;/gSJyxlkFtAyXCAwKBn/A6MeyDjF4vcd4RSj+qcWkl8x9zjg42AzDkibwdYUZ5JjZD4W0nD8ruPV&#10;tgTdpsBadgtUVFQ6fw92aBrTjKCsG/jLDI/KGTjpiB9R6Jpafjt6jKLgjOhU3SiOVOx2THMkmdjR&#10;8XwgcmBAx4vm2kQlXF3YONX7f8GP4J0B9D0UHQqH6+aI4KAq34gRP4fSJXAnjJ5xIq3rqhOK+Uny&#10;GlpUFRrMffuFCo28W3cRfK5CoR8YCvFSUf7/qfYyv3whqcSO503E4vmhCx+GXAaJIZhBMpKM/Cco&#10;5t/oPsLT6tLt0En78JbVFbgTBw092lhdju0Y6lID00aMXeHYTgwdxyuq6+hqPrvBL9fQF3Un3+tV&#10;/jJRTP3Ua2/v76W6DjeZvtb1n5PuToa/PPVrdvytVx3+RW/+B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zRSQ7Q0EAADT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  <v:textbox inset="0,0,0,0">
                      <w:txbxContent>
                        <w:p w:rsidR="006267E8" w:rsidRDefault="006267E8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52EC3" w:rsidRPr="00152EC3">
                            <w:rPr>
                              <w:rStyle w:val="Numrodepage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XXLMMA&#10;AADbAAAADwAAAGRycy9kb3ducmV2LnhtbESPwWrDMBBE74X+g9hCLyWR64MdXMshFAq+9BAnhxwX&#10;a2uZWCsjKYn791UhkOMwO2926u1iJ3ElH0bHCt7XGQji3umRBwXHw9dqAyJEZI2TY1LwSwG2zfNT&#10;jZV2N97TtYuDSBAOFSowMc6VlKE3ZDGs3UycvB/nLcYk/SC1x1uC20nmWVZIiyOnBoMzfRrqz93F&#10;pjdOwYVT21+wPObmbbP44duXSr2+LLsPEJGW+Di+p1utIC/gf0sCgG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XXLMMAAADbAAAADwAAAAAAAAAAAAAAAACYAgAAZHJzL2Rv&#10;d25yZXYueG1sUEsFBgAAAAAEAAQA9QAAAIgD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Na74A&#10;AADbAAAADwAAAGRycy9kb3ducmV2LnhtbESPQQ/BQBSE7xL/YfMkbmw5IGUJEuKqOLg93adtdN82&#10;3VX1761E4jiZmW8yi1VrStFQ7QrLCkbDCARxanXBmYLzaTeYgXAeWWNpmRS8ycFq2e0sMNb2xUdq&#10;Ep+JAGEXo4Lc+yqW0qU5GXRDWxEH725rgz7IOpO6xleAm1KOo2giDRYcFnKsaJtT+kieRkGxt6PL&#10;bpMc3bWZbOW6vG3s5aZUv9eu5yA8tf4f/rUPWsF4Ct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IzWu+AAAA2wAAAA8AAAAAAAAAAAAAAAAAmAIAAGRycy9kb3ducmV2&#10;LnhtbFBLBQYAAAAABAAEAPUAAACDAw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6267E8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562" w:rsidRDefault="001945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6B6"/>
    <w:multiLevelType w:val="hybridMultilevel"/>
    <w:tmpl w:val="581244AA"/>
    <w:lvl w:ilvl="0" w:tplc="7CE86A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26A"/>
    <w:multiLevelType w:val="hybridMultilevel"/>
    <w:tmpl w:val="98B2493E"/>
    <w:lvl w:ilvl="0" w:tplc="4C0A68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6D98"/>
    <w:multiLevelType w:val="hybridMultilevel"/>
    <w:tmpl w:val="6158CD50"/>
    <w:lvl w:ilvl="0" w:tplc="EBE67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4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E63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AC9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0C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720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4A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4C4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DCE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A8"/>
    <w:rsid w:val="00002311"/>
    <w:rsid w:val="0005605D"/>
    <w:rsid w:val="00056E15"/>
    <w:rsid w:val="000979FF"/>
    <w:rsid w:val="000A2669"/>
    <w:rsid w:val="000F7296"/>
    <w:rsid w:val="0011018C"/>
    <w:rsid w:val="0015019D"/>
    <w:rsid w:val="00152EC3"/>
    <w:rsid w:val="00152F5B"/>
    <w:rsid w:val="00194562"/>
    <w:rsid w:val="001B2264"/>
    <w:rsid w:val="00270893"/>
    <w:rsid w:val="00275A8A"/>
    <w:rsid w:val="00275C76"/>
    <w:rsid w:val="00286334"/>
    <w:rsid w:val="002A36E7"/>
    <w:rsid w:val="002D2C62"/>
    <w:rsid w:val="002F11CD"/>
    <w:rsid w:val="003350DA"/>
    <w:rsid w:val="003D6230"/>
    <w:rsid w:val="003E0FBD"/>
    <w:rsid w:val="003E3584"/>
    <w:rsid w:val="004516B1"/>
    <w:rsid w:val="0045462A"/>
    <w:rsid w:val="004976A8"/>
    <w:rsid w:val="0049778B"/>
    <w:rsid w:val="004B6D68"/>
    <w:rsid w:val="00586877"/>
    <w:rsid w:val="005D7E8E"/>
    <w:rsid w:val="005E5CF1"/>
    <w:rsid w:val="006267E8"/>
    <w:rsid w:val="006457A5"/>
    <w:rsid w:val="00652A11"/>
    <w:rsid w:val="00653F6D"/>
    <w:rsid w:val="00671545"/>
    <w:rsid w:val="006A18F0"/>
    <w:rsid w:val="007739F0"/>
    <w:rsid w:val="00794342"/>
    <w:rsid w:val="007C26BF"/>
    <w:rsid w:val="0086039C"/>
    <w:rsid w:val="008D3508"/>
    <w:rsid w:val="008E55DC"/>
    <w:rsid w:val="00917716"/>
    <w:rsid w:val="0097237A"/>
    <w:rsid w:val="00993492"/>
    <w:rsid w:val="009979CD"/>
    <w:rsid w:val="009B28D8"/>
    <w:rsid w:val="009F73E8"/>
    <w:rsid w:val="00A262DC"/>
    <w:rsid w:val="00A5116E"/>
    <w:rsid w:val="00A76FFD"/>
    <w:rsid w:val="00A85D7B"/>
    <w:rsid w:val="00A930C0"/>
    <w:rsid w:val="00AA3497"/>
    <w:rsid w:val="00AC7B26"/>
    <w:rsid w:val="00AD2896"/>
    <w:rsid w:val="00AF0F8C"/>
    <w:rsid w:val="00AF183E"/>
    <w:rsid w:val="00B02D56"/>
    <w:rsid w:val="00B321CF"/>
    <w:rsid w:val="00B36D2F"/>
    <w:rsid w:val="00B80BF7"/>
    <w:rsid w:val="00BE3370"/>
    <w:rsid w:val="00BF4D0A"/>
    <w:rsid w:val="00BF5840"/>
    <w:rsid w:val="00C27F04"/>
    <w:rsid w:val="00C36EB5"/>
    <w:rsid w:val="00CB3D5A"/>
    <w:rsid w:val="00CF77F7"/>
    <w:rsid w:val="00D00BC3"/>
    <w:rsid w:val="00D2502F"/>
    <w:rsid w:val="00D41701"/>
    <w:rsid w:val="00D4591F"/>
    <w:rsid w:val="00D93EB9"/>
    <w:rsid w:val="00DB37D5"/>
    <w:rsid w:val="00DB7865"/>
    <w:rsid w:val="00DC2839"/>
    <w:rsid w:val="00DC4E2D"/>
    <w:rsid w:val="00DD7F42"/>
    <w:rsid w:val="00E04190"/>
    <w:rsid w:val="00E266EB"/>
    <w:rsid w:val="00E36FC8"/>
    <w:rsid w:val="00E80984"/>
    <w:rsid w:val="00E874E3"/>
    <w:rsid w:val="00EB3FF7"/>
    <w:rsid w:val="00EF1DCD"/>
    <w:rsid w:val="00EF519C"/>
    <w:rsid w:val="00F479E6"/>
    <w:rsid w:val="00F50E43"/>
    <w:rsid w:val="00F52D95"/>
    <w:rsid w:val="00F61BD8"/>
    <w:rsid w:val="00F968F2"/>
    <w:rsid w:val="00FB014C"/>
    <w:rsid w:val="00FB7F6F"/>
    <w:rsid w:val="00FC5593"/>
    <w:rsid w:val="00FE02F7"/>
    <w:rsid w:val="00FE70FB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26CB9-3FBC-48F0-B6B2-B29188D4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76A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3F6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7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79CD"/>
  </w:style>
  <w:style w:type="paragraph" w:styleId="Pieddepage">
    <w:name w:val="footer"/>
    <w:basedOn w:val="Normal"/>
    <w:link w:val="PieddepageCar"/>
    <w:uiPriority w:val="99"/>
    <w:unhideWhenUsed/>
    <w:rsid w:val="00997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79CD"/>
  </w:style>
  <w:style w:type="character" w:styleId="Numrodepage">
    <w:name w:val="page number"/>
    <w:basedOn w:val="Policepardfaut"/>
    <w:uiPriority w:val="99"/>
    <w:unhideWhenUsed/>
    <w:rsid w:val="0062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9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BRIULET</dc:creator>
  <cp:keywords/>
  <dc:description/>
  <cp:lastModifiedBy>Pascal BRIULET</cp:lastModifiedBy>
  <cp:revision>13</cp:revision>
  <cp:lastPrinted>2015-07-19T08:19:00Z</cp:lastPrinted>
  <dcterms:created xsi:type="dcterms:W3CDTF">2015-07-16T21:29:00Z</dcterms:created>
  <dcterms:modified xsi:type="dcterms:W3CDTF">2015-07-23T10:12:00Z</dcterms:modified>
</cp:coreProperties>
</file>